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323FE13F" w:rsidR="00F92268" w:rsidRPr="00F25E42" w:rsidRDefault="00F92268" w:rsidP="00850792">
      <w:pPr>
        <w:pStyle w:val="BodyText"/>
        <w:rPr>
          <w:sz w:val="6"/>
          <w:szCs w:val="6"/>
        </w:rPr>
      </w:pPr>
      <w:r w:rsidRPr="00F25E42">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F25E42"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F25E42" w:rsidRDefault="00F92268" w:rsidP="00F246C7">
            <w:pPr>
              <w:pStyle w:val="RefTableData"/>
            </w:pPr>
            <w:r w:rsidRPr="00F25E42">
              <w:t>Reference number(s)</w:t>
            </w:r>
          </w:p>
        </w:tc>
      </w:tr>
      <w:tr w:rsidR="00F92268" w:rsidRPr="00F25E42"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EB8919B" w:rsidR="00F92268" w:rsidRPr="00F25E42" w:rsidRDefault="00D53588" w:rsidP="00F246C7">
            <w:pPr>
              <w:pStyle w:val="RefTableHeader"/>
            </w:pPr>
            <w:r w:rsidRPr="00F25E42">
              <w:t>2382-A</w:t>
            </w:r>
          </w:p>
        </w:tc>
      </w:tr>
    </w:tbl>
    <w:p w14:paraId="74FBA5B4" w14:textId="77777777" w:rsidR="00051356" w:rsidRPr="00F25E42" w:rsidRDefault="00051356" w:rsidP="00A672B3">
      <w:pPr>
        <w:pStyle w:val="BodyText"/>
        <w:rPr>
          <w:b/>
          <w:bCs/>
          <w:sz w:val="16"/>
          <w:szCs w:val="16"/>
        </w:rPr>
        <w:sectPr w:rsidR="00051356" w:rsidRPr="00F25E42" w:rsidSect="00E451EE">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42AFEB6" w:rsidR="004B15BB" w:rsidRPr="00F25E42" w:rsidRDefault="00997511" w:rsidP="007E5C16">
      <w:pPr>
        <w:pStyle w:val="Heading1"/>
      </w:pPr>
      <w:r w:rsidRPr="00F25E42">
        <w:t>Specialty Guideline Management</w:t>
      </w:r>
      <w:r w:rsidRPr="00F25E42">
        <w:br/>
      </w:r>
      <w:r w:rsidR="00AA56D8" w:rsidRPr="00F25E42">
        <w:t>zoledronic acid</w:t>
      </w:r>
      <w:r w:rsidR="00AA56D8">
        <w:t>-</w:t>
      </w:r>
      <w:proofErr w:type="spellStart"/>
      <w:r w:rsidRPr="00F25E42">
        <w:t>Zometa</w:t>
      </w:r>
      <w:proofErr w:type="spellEnd"/>
    </w:p>
    <w:p w14:paraId="78861C92" w14:textId="50BE7A57" w:rsidR="00203468" w:rsidRPr="00F25E42" w:rsidRDefault="00C64534" w:rsidP="008E0F0D">
      <w:pPr>
        <w:pStyle w:val="Heading2"/>
      </w:pPr>
      <w:r w:rsidRPr="00F25E42">
        <w:t xml:space="preserve">Products Referenced by this </w:t>
      </w:r>
      <w:r w:rsidR="00501602" w:rsidRPr="00F25E42">
        <w:t>Document</w:t>
      </w:r>
    </w:p>
    <w:p w14:paraId="5455152B" w14:textId="454830B3" w:rsidR="008E0F0D" w:rsidRPr="00F25E42" w:rsidRDefault="00D82D85" w:rsidP="008B73E8">
      <w:pPr>
        <w:pStyle w:val="BodyText"/>
      </w:pPr>
      <w:r w:rsidRPr="00F25E42">
        <w:t xml:space="preserve">Drugs that are listed in the </w:t>
      </w:r>
      <w:r w:rsidR="000315F1" w:rsidRPr="00F25E42">
        <w:t>following table</w:t>
      </w:r>
      <w:r w:rsidRPr="00F25E42">
        <w:t xml:space="preserve"> include both brand and generic and all dosage forms and strengths unless otherwise stated. </w:t>
      </w:r>
      <w:r w:rsidR="00CA628A">
        <w:t>Over-the-counter (</w:t>
      </w:r>
      <w:r w:rsidRPr="00F25E42">
        <w:t>OTC</w:t>
      </w:r>
      <w:r w:rsidR="00CA628A">
        <w:t>)</w:t>
      </w:r>
      <w:r w:rsidRPr="00F25E42">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F25E42" w14:paraId="158421F8" w14:textId="77777777" w:rsidTr="000C5A6F">
        <w:trPr>
          <w:cantSplit/>
          <w:trHeight w:val="288"/>
          <w:tblHeader/>
        </w:trPr>
        <w:tc>
          <w:tcPr>
            <w:tcW w:w="5265" w:type="dxa"/>
            <w:vAlign w:val="center"/>
          </w:tcPr>
          <w:p w14:paraId="2A27354A" w14:textId="1390179E" w:rsidR="00252CE1" w:rsidRPr="00F25E42" w:rsidRDefault="00252CE1" w:rsidP="00AA1E6A">
            <w:pPr>
              <w:pStyle w:val="TableHeader"/>
            </w:pPr>
            <w:bookmarkStart w:id="0" w:name="_Hlk159603270"/>
            <w:r w:rsidRPr="00F25E42">
              <w:t>Brand Name</w:t>
            </w:r>
          </w:p>
        </w:tc>
        <w:tc>
          <w:tcPr>
            <w:tcW w:w="5595" w:type="dxa"/>
            <w:vAlign w:val="center"/>
          </w:tcPr>
          <w:p w14:paraId="3D342BE1" w14:textId="75F11EF1" w:rsidR="00252CE1" w:rsidRPr="00F25E42" w:rsidRDefault="00252CE1" w:rsidP="00AA1E6A">
            <w:pPr>
              <w:pStyle w:val="TableHeader"/>
            </w:pPr>
            <w:r w:rsidRPr="00F25E42">
              <w:t>Generic Name</w:t>
            </w:r>
          </w:p>
        </w:tc>
      </w:tr>
      <w:tr w:rsidR="00585FFF" w:rsidRPr="00F25E42" w14:paraId="2AD5C02D" w14:textId="77777777" w:rsidTr="000C5A6F">
        <w:trPr>
          <w:cantSplit/>
        </w:trPr>
        <w:tc>
          <w:tcPr>
            <w:tcW w:w="5265" w:type="dxa"/>
          </w:tcPr>
          <w:p w14:paraId="2D8FA8E3" w14:textId="108744F3" w:rsidR="00585FFF" w:rsidRPr="00F25E42" w:rsidRDefault="00997511" w:rsidP="00E82ABA">
            <w:pPr>
              <w:pStyle w:val="TableDataUnpadded"/>
            </w:pPr>
            <w:proofErr w:type="spellStart"/>
            <w:r w:rsidRPr="00F25E42">
              <w:t>Zometa</w:t>
            </w:r>
            <w:proofErr w:type="spellEnd"/>
          </w:p>
        </w:tc>
        <w:tc>
          <w:tcPr>
            <w:tcW w:w="5595" w:type="dxa"/>
          </w:tcPr>
          <w:p w14:paraId="7E26A004" w14:textId="24A6D83C" w:rsidR="00585FFF" w:rsidRPr="00F25E42" w:rsidRDefault="00997511" w:rsidP="00E82ABA">
            <w:pPr>
              <w:pStyle w:val="TableDataUnpadded"/>
            </w:pPr>
            <w:r w:rsidRPr="00F25E42">
              <w:t>zoledronic acid</w:t>
            </w:r>
          </w:p>
        </w:tc>
      </w:tr>
    </w:tbl>
    <w:bookmarkEnd w:id="0"/>
    <w:p w14:paraId="14CE6108" w14:textId="420BEC9F" w:rsidR="00FC1AAD" w:rsidRPr="00F25E42" w:rsidRDefault="00ED052F" w:rsidP="00AA2A94">
      <w:pPr>
        <w:pStyle w:val="Heading2"/>
        <w:tabs>
          <w:tab w:val="left" w:pos="9540"/>
        </w:tabs>
      </w:pPr>
      <w:r w:rsidRPr="00F25E42">
        <w:t>Indications</w:t>
      </w:r>
    </w:p>
    <w:p w14:paraId="2760B7BD" w14:textId="4FDE40EC" w:rsidR="00997511" w:rsidRPr="00F25E42" w:rsidRDefault="00997511" w:rsidP="00997511">
      <w:pPr>
        <w:pStyle w:val="BodyText"/>
      </w:pPr>
      <w:r w:rsidRPr="00F25E42">
        <w:t>The indications below including FDA-approved indications and compendial uses are considered a covered benefit provided that all the approval criteria are met and the member has no exclusions to the prescribed therapy.</w:t>
      </w:r>
    </w:p>
    <w:p w14:paraId="2CB7236E" w14:textId="23A98837" w:rsidR="00461455" w:rsidRPr="004A0635" w:rsidRDefault="00ED052F" w:rsidP="00D27BAA">
      <w:pPr>
        <w:pStyle w:val="Heading3"/>
        <w:keepNext w:val="0"/>
        <w:rPr>
          <w:vertAlign w:val="superscript"/>
        </w:rPr>
      </w:pPr>
      <w:r w:rsidRPr="00F25E42">
        <w:t>FDA-</w:t>
      </w:r>
      <w:r w:rsidR="0040371F">
        <w:t>A</w:t>
      </w:r>
      <w:r w:rsidRPr="00F25E42">
        <w:t>pproved Indications</w:t>
      </w:r>
      <w:r w:rsidR="00997511" w:rsidRPr="00F25E42">
        <w:rPr>
          <w:vertAlign w:val="superscript"/>
        </w:rPr>
        <w:t>1,2</w:t>
      </w:r>
    </w:p>
    <w:p w14:paraId="3F5FD711" w14:textId="207A5F84" w:rsidR="00997511" w:rsidRPr="00F25E42" w:rsidRDefault="00461455" w:rsidP="00997511">
      <w:pPr>
        <w:pStyle w:val="ListParagraph"/>
      </w:pPr>
      <w:r>
        <w:t>T</w:t>
      </w:r>
      <w:r w:rsidR="00997511" w:rsidRPr="00F25E42">
        <w:t>reatment of hypercalcemia of malignancy defined as an albumin-corrected calcium (</w:t>
      </w:r>
      <w:proofErr w:type="spellStart"/>
      <w:r w:rsidR="00997511" w:rsidRPr="00F25E42">
        <w:t>cCa</w:t>
      </w:r>
      <w:proofErr w:type="spellEnd"/>
      <w:r w:rsidR="00997511" w:rsidRPr="00F25E42">
        <w:t xml:space="preserve">) of greater than or equal to 12 mg/dL [3.0 mmol/L] using the formula: </w:t>
      </w:r>
      <w:proofErr w:type="spellStart"/>
      <w:r w:rsidR="00997511" w:rsidRPr="00F25E42">
        <w:t>cCa</w:t>
      </w:r>
      <w:proofErr w:type="spellEnd"/>
      <w:r w:rsidR="00997511" w:rsidRPr="00F25E42">
        <w:t xml:space="preserve"> in mg/dL= </w:t>
      </w:r>
      <w:r>
        <w:t>calcium (</w:t>
      </w:r>
      <w:r w:rsidR="00997511" w:rsidRPr="00F25E42">
        <w:t>Ca</w:t>
      </w:r>
      <w:r>
        <w:t>)</w:t>
      </w:r>
      <w:r w:rsidR="00997511" w:rsidRPr="00F25E42">
        <w:t xml:space="preserve"> in mg/dL + 0.8 (4.0 g/dL - patient albumin [g/dL]).</w:t>
      </w:r>
    </w:p>
    <w:p w14:paraId="4C434745" w14:textId="11AF04CD" w:rsidR="00ED052F" w:rsidRPr="00F25E42" w:rsidRDefault="00461455" w:rsidP="00997511">
      <w:pPr>
        <w:pStyle w:val="ListParagraph"/>
      </w:pPr>
      <w:r>
        <w:t>T</w:t>
      </w:r>
      <w:r w:rsidR="00997511" w:rsidRPr="00F25E42">
        <w:t>reatment of patients with multiple myeloma and patients with documented bone metastases from solid tumors, in conjunction with standard antineoplastic therapy. Prostate cancer should have progressed after treatment with at least one hormonal therapy.</w:t>
      </w:r>
    </w:p>
    <w:p w14:paraId="48085E54" w14:textId="20A98D71" w:rsidR="009A5649" w:rsidRPr="00F25E42" w:rsidRDefault="00A30ABB" w:rsidP="00D27BAA">
      <w:pPr>
        <w:pStyle w:val="Heading4"/>
      </w:pPr>
      <w:r w:rsidRPr="00F25E42">
        <w:t>Limitations of Use</w:t>
      </w:r>
    </w:p>
    <w:p w14:paraId="1A8AD4BB" w14:textId="0257E8A5" w:rsidR="009A5649" w:rsidRPr="00F25E42" w:rsidRDefault="00997511" w:rsidP="009A5649">
      <w:pPr>
        <w:pStyle w:val="BodyText"/>
      </w:pPr>
      <w:r w:rsidRPr="00F25E42">
        <w:t xml:space="preserve">The safety and efficacy of </w:t>
      </w:r>
      <w:proofErr w:type="spellStart"/>
      <w:r w:rsidRPr="00F25E42">
        <w:t>Zometa</w:t>
      </w:r>
      <w:proofErr w:type="spellEnd"/>
      <w:r w:rsidR="00461455">
        <w:t xml:space="preserve"> or </w:t>
      </w:r>
      <w:r w:rsidRPr="00F25E42">
        <w:t>zoledronic acid in the treatment of hypercalcemia associated with hyperparathyroidism or with other non-tumor-related conditions have not been established.</w:t>
      </w:r>
    </w:p>
    <w:p w14:paraId="0B5EC236" w14:textId="0184AFF4" w:rsidR="0044763A" w:rsidRPr="00F25E42" w:rsidRDefault="009F2EF1" w:rsidP="0044763A">
      <w:pPr>
        <w:pStyle w:val="Heading3"/>
      </w:pPr>
      <w:r w:rsidRPr="00F25E42">
        <w:lastRenderedPageBreak/>
        <w:t>Compendial Uses</w:t>
      </w:r>
      <w:r w:rsidR="00D06AB2">
        <w:rPr>
          <w:vertAlign w:val="superscript"/>
        </w:rPr>
        <w:t>3</w:t>
      </w:r>
    </w:p>
    <w:p w14:paraId="773CE560" w14:textId="7F814DBE" w:rsidR="00997511" w:rsidRPr="00F25E42" w:rsidRDefault="00997511" w:rsidP="00997511">
      <w:pPr>
        <w:pStyle w:val="ListParagraph"/>
      </w:pPr>
      <w:r w:rsidRPr="00F25E42">
        <w:t>Treatment in postmenopausal patients with breast cancer who are receiving adjuvant</w:t>
      </w:r>
      <w:r w:rsidR="00B706C7">
        <w:t xml:space="preserve"> </w:t>
      </w:r>
      <w:r w:rsidR="00B706C7" w:rsidRPr="004A0635">
        <w:t xml:space="preserve">aromatase inhibition therapy </w:t>
      </w:r>
      <w:r w:rsidRPr="004A0635">
        <w:t>to</w:t>
      </w:r>
      <w:r w:rsidRPr="00F25E42">
        <w:t xml:space="preserve"> maintain or improve bone mineral density and reduce risk of fractures</w:t>
      </w:r>
    </w:p>
    <w:p w14:paraId="763882FE" w14:textId="1E906082" w:rsidR="00997511" w:rsidRPr="00F25E42" w:rsidRDefault="00997511" w:rsidP="00997511">
      <w:pPr>
        <w:pStyle w:val="ListParagraph"/>
      </w:pPr>
      <w:r w:rsidRPr="00F25E42">
        <w:t>Treatment in postmenopausal patients with breast cancer who are receiving adjuvant therapy to reduce the risk of distant metastases</w:t>
      </w:r>
    </w:p>
    <w:p w14:paraId="7106327F" w14:textId="77777777" w:rsidR="00997511" w:rsidRPr="00F25E42" w:rsidRDefault="00997511" w:rsidP="00997511">
      <w:pPr>
        <w:pStyle w:val="ListParagraph"/>
      </w:pPr>
      <w:r w:rsidRPr="00F25E42">
        <w:t>Treatment for osteopenia or osteoporosis in patients with systemic mastocytosis</w:t>
      </w:r>
    </w:p>
    <w:p w14:paraId="53C59B98" w14:textId="3CC72E5B" w:rsidR="00997511" w:rsidRPr="00F25E42" w:rsidRDefault="00997511" w:rsidP="00997511">
      <w:pPr>
        <w:pStyle w:val="ListParagraph"/>
      </w:pPr>
      <w:r w:rsidRPr="00F25E42">
        <w:t>Langerhans cell histiocytosis with bone disease</w:t>
      </w:r>
    </w:p>
    <w:p w14:paraId="0D5A9DD5" w14:textId="5EEF08DC" w:rsidR="009A5649" w:rsidRPr="00F25E42" w:rsidRDefault="00997511" w:rsidP="00997511">
      <w:pPr>
        <w:pStyle w:val="BodyText"/>
        <w:rPr>
          <w:rFonts w:eastAsia="Arial"/>
        </w:rPr>
      </w:pPr>
      <w:r w:rsidRPr="00F25E42">
        <w:t>All other indications are considered experimental/investigational and not medically necessary.</w:t>
      </w:r>
    </w:p>
    <w:p w14:paraId="4C566EF7" w14:textId="1376BCB8" w:rsidR="002E25CE" w:rsidRPr="004A0635" w:rsidRDefault="002E25CE" w:rsidP="00E050E1">
      <w:pPr>
        <w:pStyle w:val="Heading2"/>
      </w:pPr>
      <w:r w:rsidRPr="004A0635">
        <w:t>Documentation</w:t>
      </w:r>
    </w:p>
    <w:p w14:paraId="1BFB4621" w14:textId="199A754A" w:rsidR="002E25CE" w:rsidRPr="002E25CE" w:rsidRDefault="002E25CE" w:rsidP="004A0635">
      <w:pPr>
        <w:pStyle w:val="BodyText"/>
      </w:pPr>
      <w:r w:rsidRPr="004A0635">
        <w:t xml:space="preserve">Submission of the following information is necessary to initiate the prior authorization review: Chart notes, medical record documentation, or claims history </w:t>
      </w:r>
      <w:r w:rsidR="00B706C7" w:rsidRPr="004A0635">
        <w:t xml:space="preserve">supporting </w:t>
      </w:r>
      <w:r w:rsidRPr="004A0635">
        <w:t>use</w:t>
      </w:r>
      <w:r w:rsidR="00B706C7" w:rsidRPr="004A0635">
        <w:t xml:space="preserve"> of </w:t>
      </w:r>
      <w:r w:rsidR="006209AF" w:rsidRPr="004A0635">
        <w:t>aromatase inhibitor therapy</w:t>
      </w:r>
      <w:r w:rsidR="00F40B9C" w:rsidRPr="004A0635">
        <w:t>, if applicable</w:t>
      </w:r>
      <w:r w:rsidRPr="004A0635">
        <w:t>.</w:t>
      </w:r>
    </w:p>
    <w:p w14:paraId="50A38FBA" w14:textId="46B5ED1E" w:rsidR="00FE0C63" w:rsidRPr="00F25E42" w:rsidRDefault="00685107" w:rsidP="00E050E1">
      <w:pPr>
        <w:pStyle w:val="Heading2"/>
      </w:pPr>
      <w:r w:rsidRPr="00F25E42">
        <w:t>Coverage Criteria</w:t>
      </w:r>
    </w:p>
    <w:p w14:paraId="0C4ECC69" w14:textId="4C10A579" w:rsidR="00997511" w:rsidRPr="00F25E42" w:rsidRDefault="00997511" w:rsidP="00997511">
      <w:pPr>
        <w:pStyle w:val="Heading3"/>
      </w:pPr>
      <w:r w:rsidRPr="00F25E42">
        <w:t xml:space="preserve">Hypercalcemia </w:t>
      </w:r>
      <w:r w:rsidR="0040371F">
        <w:t>o</w:t>
      </w:r>
      <w:r w:rsidR="0040371F" w:rsidRPr="00F25E42">
        <w:t>f Malignancy</w:t>
      </w:r>
      <w:r w:rsidR="0040371F" w:rsidRPr="00F25E42">
        <w:rPr>
          <w:vertAlign w:val="superscript"/>
        </w:rPr>
        <w:t>1</w:t>
      </w:r>
      <w:r w:rsidRPr="00F25E42">
        <w:rPr>
          <w:vertAlign w:val="superscript"/>
        </w:rPr>
        <w:t>-3</w:t>
      </w:r>
    </w:p>
    <w:p w14:paraId="364231E2" w14:textId="23D31B71" w:rsidR="00997511" w:rsidRPr="00F25E42" w:rsidRDefault="00997511" w:rsidP="00997511">
      <w:pPr>
        <w:pStyle w:val="BodyText"/>
      </w:pPr>
      <w:r w:rsidRPr="00F25E42">
        <w:t>Authorization of 2 months may be granted for treatment of hypercalcemia of malignancy.</w:t>
      </w:r>
    </w:p>
    <w:p w14:paraId="24808B16" w14:textId="74D08B13" w:rsidR="00997511" w:rsidRPr="00F25E42" w:rsidRDefault="00997511" w:rsidP="00997511">
      <w:pPr>
        <w:pStyle w:val="Heading3"/>
      </w:pPr>
      <w:r w:rsidRPr="00F25E42">
        <w:t xml:space="preserve">Multiple </w:t>
      </w:r>
      <w:r w:rsidR="0040371F" w:rsidRPr="00F25E42">
        <w:t>Myeloma</w:t>
      </w:r>
      <w:r w:rsidR="0040371F" w:rsidRPr="00F25E42">
        <w:rPr>
          <w:vertAlign w:val="superscript"/>
        </w:rPr>
        <w:t>1</w:t>
      </w:r>
      <w:r w:rsidRPr="00F25E42">
        <w:rPr>
          <w:vertAlign w:val="superscript"/>
        </w:rPr>
        <w:t>-3</w:t>
      </w:r>
    </w:p>
    <w:p w14:paraId="183FC622" w14:textId="434DAE1B" w:rsidR="00997511" w:rsidRPr="00F25E42" w:rsidRDefault="00997511" w:rsidP="00997511">
      <w:pPr>
        <w:pStyle w:val="BodyText"/>
      </w:pPr>
      <w:r w:rsidRPr="00F25E42">
        <w:t>Authorization of 12 months may be granted for treatment or prevention of skeletal-related events in members with multiple myeloma.</w:t>
      </w:r>
    </w:p>
    <w:p w14:paraId="61A0CD02" w14:textId="39B1CA33" w:rsidR="00997511" w:rsidRPr="00F25E42" w:rsidRDefault="00997511" w:rsidP="00997511">
      <w:pPr>
        <w:pStyle w:val="Heading3"/>
      </w:pPr>
      <w:r w:rsidRPr="00F25E42">
        <w:t xml:space="preserve">Bone </w:t>
      </w:r>
      <w:r w:rsidR="0040371F" w:rsidRPr="00F25E42">
        <w:t>Metastases From A Solid Tumor</w:t>
      </w:r>
      <w:r w:rsidR="0040371F" w:rsidRPr="00F25E42">
        <w:rPr>
          <w:vertAlign w:val="superscript"/>
        </w:rPr>
        <w:t>1</w:t>
      </w:r>
      <w:r w:rsidRPr="00F25E42">
        <w:rPr>
          <w:vertAlign w:val="superscript"/>
        </w:rPr>
        <w:t>-3</w:t>
      </w:r>
    </w:p>
    <w:p w14:paraId="35CDDC56" w14:textId="7F744D9C" w:rsidR="00997511" w:rsidRPr="00F25E42" w:rsidRDefault="00997511" w:rsidP="00997511">
      <w:pPr>
        <w:pStyle w:val="BodyText"/>
      </w:pPr>
      <w:r w:rsidRPr="00F25E42">
        <w:t>Authorization of 12 months may be granted for treatment or prevention of skeletal-related events in members with bone metastases from a solid tumor (e.g., breast cancer, non-small cell lung cancer, thyroid carcinoma, kidney cancer, prostate cancer).</w:t>
      </w:r>
    </w:p>
    <w:p w14:paraId="5EB1E5B1" w14:textId="14EE0D14" w:rsidR="00997511" w:rsidRPr="00F25E42" w:rsidRDefault="00997511" w:rsidP="00997511">
      <w:pPr>
        <w:pStyle w:val="Heading3"/>
      </w:pPr>
      <w:r w:rsidRPr="00F25E42">
        <w:t xml:space="preserve">Breast </w:t>
      </w:r>
      <w:r w:rsidR="0040371F" w:rsidRPr="00F25E42">
        <w:t>Cancer</w:t>
      </w:r>
      <w:r w:rsidR="0040371F" w:rsidRPr="00F25E42">
        <w:rPr>
          <w:vertAlign w:val="superscript"/>
        </w:rPr>
        <w:t>3</w:t>
      </w:r>
    </w:p>
    <w:p w14:paraId="69C59B7A" w14:textId="14286BCA" w:rsidR="00997511" w:rsidRPr="00F25E42" w:rsidRDefault="00997511" w:rsidP="00997511">
      <w:pPr>
        <w:pStyle w:val="BodyText"/>
      </w:pPr>
      <w:r w:rsidRPr="00F25E42">
        <w:t>Authorization of 12 months may be granted for postmenopausal (natural or induced by ovarian suppression) members when either of the following criteria is met:</w:t>
      </w:r>
    </w:p>
    <w:p w14:paraId="5CEA91E7" w14:textId="056BF736" w:rsidR="00997511" w:rsidRPr="00FF3862" w:rsidRDefault="00997511" w:rsidP="00997511">
      <w:pPr>
        <w:pStyle w:val="ListParagraph"/>
      </w:pPr>
      <w:r w:rsidRPr="00FF3862">
        <w:t xml:space="preserve">The </w:t>
      </w:r>
      <w:r w:rsidR="00855A66" w:rsidRPr="004A0635">
        <w:t>member is receiving adjuvant aromatase inhibition therapy for breast cancer and the</w:t>
      </w:r>
      <w:r w:rsidR="00855A66" w:rsidRPr="00FF3862">
        <w:t xml:space="preserve"> </w:t>
      </w:r>
      <w:r w:rsidRPr="00FF3862">
        <w:t>requested medication will be used to maintain or improve bone mineral density and reduce the risk of fractures</w:t>
      </w:r>
    </w:p>
    <w:p w14:paraId="583C6D49" w14:textId="53485ED6" w:rsidR="00997511" w:rsidRPr="00FF3862" w:rsidRDefault="00997511" w:rsidP="00997511">
      <w:pPr>
        <w:pStyle w:val="ListParagraph"/>
      </w:pPr>
      <w:r w:rsidRPr="00FF3862">
        <w:t xml:space="preserve">The </w:t>
      </w:r>
      <w:r w:rsidR="00855A66" w:rsidRPr="004A0635">
        <w:t xml:space="preserve">member is receiving adjuvant therapy for breast cancer and the </w:t>
      </w:r>
      <w:r w:rsidRPr="004A0635">
        <w:t>requested</w:t>
      </w:r>
      <w:r w:rsidRPr="00FF3862">
        <w:t xml:space="preserve"> medication will be used for risk reduction of distant metastasis in high-risk node negative or node positive tumors</w:t>
      </w:r>
    </w:p>
    <w:p w14:paraId="21396203" w14:textId="7E3A344A" w:rsidR="00997511" w:rsidRPr="00F25E42" w:rsidRDefault="00997511" w:rsidP="00997511">
      <w:pPr>
        <w:pStyle w:val="Heading3"/>
      </w:pPr>
      <w:r w:rsidRPr="00F25E42">
        <w:t xml:space="preserve">Systemic </w:t>
      </w:r>
      <w:r w:rsidR="0040371F" w:rsidRPr="00F25E42">
        <w:t>Mastocytosis</w:t>
      </w:r>
      <w:r w:rsidR="0040371F" w:rsidRPr="00F25E42">
        <w:rPr>
          <w:vertAlign w:val="superscript"/>
        </w:rPr>
        <w:t>3</w:t>
      </w:r>
    </w:p>
    <w:p w14:paraId="76EF0A13" w14:textId="6DBBCE6A" w:rsidR="00997511" w:rsidRPr="00F25E42" w:rsidRDefault="00997511" w:rsidP="00997511">
      <w:pPr>
        <w:pStyle w:val="BodyText"/>
      </w:pPr>
      <w:r w:rsidRPr="00F25E42">
        <w:t>Authorization of 12 months may be granted for treatment of osteopenia or osteoporosis in members with systemic mastocytosis.</w:t>
      </w:r>
    </w:p>
    <w:p w14:paraId="4B6268BF" w14:textId="58EAB4E3" w:rsidR="00997511" w:rsidRPr="00F25E42" w:rsidRDefault="00997511" w:rsidP="00997511">
      <w:pPr>
        <w:pStyle w:val="Heading3"/>
      </w:pPr>
      <w:r w:rsidRPr="00F25E42">
        <w:t xml:space="preserve">Langerhans </w:t>
      </w:r>
      <w:r w:rsidR="0040371F" w:rsidRPr="00F25E42">
        <w:t>Cell Histiocytosis</w:t>
      </w:r>
      <w:r w:rsidR="0040371F" w:rsidRPr="00F25E42">
        <w:rPr>
          <w:vertAlign w:val="superscript"/>
        </w:rPr>
        <w:t>3</w:t>
      </w:r>
    </w:p>
    <w:p w14:paraId="554B6E8F" w14:textId="19594C51" w:rsidR="00B836B0" w:rsidRPr="00F25E42" w:rsidRDefault="00997511" w:rsidP="00997511">
      <w:pPr>
        <w:pStyle w:val="BodyText"/>
      </w:pPr>
      <w:r w:rsidRPr="00F25E42">
        <w:t>Authorization of 12 months may be granted for treatment of Langerhans cell histiocytosis with bone disease.</w:t>
      </w:r>
    </w:p>
    <w:p w14:paraId="3A643EC3" w14:textId="3BF26044" w:rsidR="00A501AC" w:rsidRPr="00F25E42" w:rsidRDefault="00A501AC" w:rsidP="00A501AC">
      <w:pPr>
        <w:pStyle w:val="Heading2"/>
      </w:pPr>
      <w:r w:rsidRPr="00F25E42">
        <w:t>Continuation of Therapy</w:t>
      </w:r>
    </w:p>
    <w:p w14:paraId="138FE5D4" w14:textId="372046FB" w:rsidR="00997511" w:rsidRPr="00F25E42" w:rsidRDefault="00997511" w:rsidP="00D53588">
      <w:pPr>
        <w:pStyle w:val="Heading3"/>
      </w:pPr>
      <w:r w:rsidRPr="00F25E42">
        <w:t xml:space="preserve">Hypercalcemia </w:t>
      </w:r>
      <w:r w:rsidR="0040371F">
        <w:t>o</w:t>
      </w:r>
      <w:r w:rsidR="0040371F" w:rsidRPr="00F25E42">
        <w:t>f Malignancy</w:t>
      </w:r>
    </w:p>
    <w:p w14:paraId="0AA6CFF8" w14:textId="3F2A5663" w:rsidR="00997511" w:rsidRPr="00F25E42" w:rsidRDefault="00997511" w:rsidP="00997511">
      <w:pPr>
        <w:pStyle w:val="BodyText"/>
      </w:pPr>
      <w:r w:rsidRPr="00F25E42">
        <w:t>Authorization of 2 months may be granted for continued treatment in members requesting reauthorization for hypercalcemia of malignancy who are experiencing benefit from therapy as evidenced by disease stability or disease improvement.</w:t>
      </w:r>
    </w:p>
    <w:p w14:paraId="3C851E95" w14:textId="5943E698" w:rsidR="00997511" w:rsidRPr="00F25E42" w:rsidRDefault="00997511" w:rsidP="00D53588">
      <w:pPr>
        <w:pStyle w:val="Heading3"/>
      </w:pPr>
      <w:r w:rsidRPr="00F25E42">
        <w:t xml:space="preserve">All </w:t>
      </w:r>
      <w:r w:rsidR="0040371F" w:rsidRPr="00F25E42">
        <w:t>Other Indications</w:t>
      </w:r>
    </w:p>
    <w:p w14:paraId="32C8905D" w14:textId="5640D959" w:rsidR="00A501AC" w:rsidRPr="00F25E42" w:rsidRDefault="00997511" w:rsidP="00997511">
      <w:pPr>
        <w:pStyle w:val="BodyText"/>
      </w:pPr>
      <w:r w:rsidRPr="00F25E42">
        <w:t>Authorization of 12 months may be granted for continued treatment in members requesting reauthorization for an indication listed in the coverage criteria who are experiencing benefit from therapy as evidenced by disease stability or disease improvement.</w:t>
      </w:r>
    </w:p>
    <w:p w14:paraId="10DA4309" w14:textId="5B8BAAE9" w:rsidR="00FF66BF" w:rsidRPr="00F25E42" w:rsidRDefault="00FF66BF" w:rsidP="00FF66BF">
      <w:pPr>
        <w:pStyle w:val="Heading2"/>
      </w:pPr>
      <w:r w:rsidRPr="00F25E42">
        <w:t>References</w:t>
      </w:r>
    </w:p>
    <w:p w14:paraId="3984568A" w14:textId="77777777" w:rsidR="00D53588" w:rsidRPr="0040371F" w:rsidRDefault="00D53588" w:rsidP="0040371F">
      <w:pPr>
        <w:pStyle w:val="ReferenceOrdered"/>
      </w:pPr>
      <w:r w:rsidRPr="0040371F">
        <w:t>Zometa [package insert]. East Hanover, NJ: Novartis Pharmaceuticals Corporation; December 2018.</w:t>
      </w:r>
    </w:p>
    <w:p w14:paraId="7DE06ADC" w14:textId="77777777" w:rsidR="00D53588" w:rsidRPr="0040371F" w:rsidRDefault="00D53588" w:rsidP="0040371F">
      <w:pPr>
        <w:pStyle w:val="ReferenceOrdered"/>
        <w:sectPr w:rsidR="00D53588" w:rsidRPr="0040371F" w:rsidSect="00CB206F">
          <w:type w:val="continuous"/>
          <w:pgSz w:w="12240" w:h="15840" w:code="1"/>
          <w:pgMar w:top="900" w:right="720" w:bottom="990" w:left="720" w:header="720" w:footer="807" w:gutter="0"/>
          <w:paperSrc w:first="15" w:other="15"/>
          <w:cols w:space="720"/>
          <w:docGrid w:linePitch="299"/>
        </w:sectPr>
      </w:pPr>
    </w:p>
    <w:p w14:paraId="04665812" w14:textId="0A3EAA25" w:rsidR="00D53588" w:rsidRPr="0040371F" w:rsidRDefault="00D53588" w:rsidP="0040371F">
      <w:pPr>
        <w:pStyle w:val="ReferenceOrdered"/>
      </w:pPr>
      <w:r w:rsidRPr="0040371F">
        <w:t xml:space="preserve">Zoledronic acid [package insert]. </w:t>
      </w:r>
      <w:r w:rsidR="002E25CE">
        <w:t>Raleigh</w:t>
      </w:r>
      <w:r w:rsidRPr="0040371F">
        <w:t xml:space="preserve">, </w:t>
      </w:r>
      <w:r w:rsidR="002E25CE">
        <w:t>NC</w:t>
      </w:r>
      <w:r w:rsidRPr="0040371F">
        <w:t xml:space="preserve">: Fresenius </w:t>
      </w:r>
      <w:proofErr w:type="spellStart"/>
      <w:r w:rsidRPr="0040371F">
        <w:t>Kabi</w:t>
      </w:r>
      <w:proofErr w:type="spellEnd"/>
      <w:r w:rsidRPr="0040371F">
        <w:t xml:space="preserve">; </w:t>
      </w:r>
      <w:r w:rsidR="002E25CE">
        <w:t>September</w:t>
      </w:r>
      <w:r w:rsidRPr="0040371F">
        <w:t xml:space="preserve"> 2023.</w:t>
      </w:r>
    </w:p>
    <w:p w14:paraId="26E25A0F" w14:textId="4FEED94C" w:rsidR="00FF66BF" w:rsidRPr="0040371F" w:rsidRDefault="00D53588" w:rsidP="0040371F">
      <w:pPr>
        <w:pStyle w:val="ReferenceOrdered"/>
      </w:pPr>
      <w:r w:rsidRPr="0040371F">
        <w:t>The NCCN Drugs &amp; Biologics Compendium</w:t>
      </w:r>
      <w:r w:rsidR="00D27BAA">
        <w:rPr>
          <w:color w:val="000000"/>
          <w:sz w:val="27"/>
          <w:szCs w:val="27"/>
        </w:rPr>
        <w:t>® ©</w:t>
      </w:r>
      <w:r w:rsidRPr="0040371F">
        <w:t xml:space="preserve"> 202</w:t>
      </w:r>
      <w:r w:rsidR="002E25CE">
        <w:t>4</w:t>
      </w:r>
      <w:r w:rsidRPr="0040371F">
        <w:t xml:space="preserve"> National Comprehensive Cancer Network, Inc. http://www.nccn.org. Accessed October 1</w:t>
      </w:r>
      <w:r w:rsidR="002E25CE">
        <w:t>1</w:t>
      </w:r>
      <w:r w:rsidRPr="0040371F">
        <w:t>, 202</w:t>
      </w:r>
      <w:r w:rsidR="002E25CE">
        <w:t>4</w:t>
      </w:r>
      <w:r w:rsidRPr="0040371F">
        <w:t>.</w:t>
      </w:r>
    </w:p>
    <w:sectPr w:rsidR="00FF66BF" w:rsidRPr="0040371F" w:rsidSect="00E451EE">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9AF10" w14:textId="77777777" w:rsidR="00902C65" w:rsidRDefault="00902C65">
      <w:r>
        <w:separator/>
      </w:r>
    </w:p>
  </w:endnote>
  <w:endnote w:type="continuationSeparator" w:id="0">
    <w:p w14:paraId="319D391A" w14:textId="77777777" w:rsidR="00902C65" w:rsidRDefault="00902C65">
      <w:r>
        <w:continuationSeparator/>
      </w:r>
    </w:p>
  </w:endnote>
  <w:endnote w:type="continuationNotice" w:id="1">
    <w:p w14:paraId="7A72AD2C" w14:textId="77777777" w:rsidR="00902C65" w:rsidRDefault="00902C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AA3C" w14:textId="5E789F34" w:rsidR="00045F8E" w:rsidRPr="00EC47B6" w:rsidRDefault="00045F8E" w:rsidP="00045F8E">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F25E42">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F1679" w:rsidRPr="009F1679">
      <w:rPr>
        <w:rFonts w:cs="Arial"/>
        <w:noProof/>
        <w:sz w:val="16"/>
        <w:szCs w:val="16"/>
      </w:rPr>
      <w:t>zoledronic</w:t>
    </w:r>
    <w:r w:rsidR="009F1679">
      <w:rPr>
        <w:rFonts w:cs="Arial"/>
        <w:noProof/>
        <w:snapToGrid w:val="0"/>
        <w:color w:val="000000"/>
        <w:sz w:val="16"/>
        <w:szCs w:val="16"/>
      </w:rPr>
      <w:t xml:space="preserve"> acid-Zometa SGM 2382-A</w:t>
    </w:r>
    <w:r w:rsidR="009F1679" w:rsidRPr="009F1679">
      <w:rPr>
        <w:rFonts w:cs="Arial"/>
        <w:noProof/>
        <w:sz w:val="16"/>
        <w:szCs w:val="16"/>
      </w:rPr>
      <w:t xml:space="preserve"> </w:t>
    </w:r>
    <w:r w:rsidR="009F1679">
      <w:rPr>
        <w:rFonts w:cs="Arial"/>
        <w:noProof/>
        <w:snapToGrid w:val="0"/>
        <w:color w:val="000000"/>
        <w:sz w:val="16"/>
        <w:szCs w:val="16"/>
      </w:rPr>
      <w:t>P2024.docx</w:t>
    </w:r>
    <w:r w:rsidRPr="00EC47B6">
      <w:rPr>
        <w:rFonts w:cs="Arial"/>
        <w:noProof/>
        <w:sz w:val="16"/>
        <w:szCs w:val="16"/>
      </w:rPr>
      <w:fldChar w:fldCharType="end"/>
    </w:r>
    <w:r w:rsidRPr="00F25E42">
      <w:rPr>
        <w:rFonts w:cs="Arial"/>
        <w:snapToGrid w:val="0"/>
        <w:color w:val="000000"/>
        <w:sz w:val="16"/>
      </w:rPr>
      <w:tab/>
      <w:t>© 202</w:t>
    </w:r>
    <w:r>
      <w:rPr>
        <w:rFonts w:cs="Arial"/>
        <w:snapToGrid w:val="0"/>
        <w:color w:val="000000"/>
        <w:sz w:val="16"/>
      </w:rPr>
      <w:t>4</w:t>
    </w:r>
    <w:r w:rsidRPr="00F25E42">
      <w:rPr>
        <w:rFonts w:cs="Arial"/>
        <w:snapToGrid w:val="0"/>
        <w:color w:val="000000"/>
        <w:sz w:val="16"/>
      </w:rPr>
      <w:t xml:space="preserve"> CVS Caremark. </w:t>
    </w:r>
    <w:r w:rsidRPr="00EC47B6">
      <w:rPr>
        <w:rFonts w:cs="Arial"/>
        <w:snapToGrid w:val="0"/>
        <w:color w:val="000000"/>
        <w:sz w:val="16"/>
      </w:rPr>
      <w:t>All rights reserved.</w:t>
    </w:r>
  </w:p>
  <w:p w14:paraId="0274852F" w14:textId="3162978B" w:rsidR="00045F8E" w:rsidRPr="00EC47B6" w:rsidRDefault="00045F8E" w:rsidP="00045F8E">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47484D3" w:rsidR="00F75C81" w:rsidRPr="00AA1E6A" w:rsidRDefault="00045F8E" w:rsidP="004A063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981083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F25E42">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13EB2" w:rsidRPr="00E13EB2">
      <w:rPr>
        <w:rFonts w:cs="Arial"/>
        <w:noProof/>
        <w:sz w:val="16"/>
        <w:szCs w:val="16"/>
      </w:rPr>
      <w:t>zoledronic</w:t>
    </w:r>
    <w:r w:rsidR="00E13EB2">
      <w:rPr>
        <w:rFonts w:cs="Arial"/>
        <w:noProof/>
        <w:snapToGrid w:val="0"/>
        <w:color w:val="000000"/>
        <w:sz w:val="16"/>
        <w:szCs w:val="16"/>
      </w:rPr>
      <w:t xml:space="preserve"> acid-Zometa SGM 2382-A</w:t>
    </w:r>
    <w:r w:rsidR="00E13EB2" w:rsidRPr="00E13EB2">
      <w:rPr>
        <w:rFonts w:cs="Arial"/>
        <w:noProof/>
        <w:sz w:val="16"/>
        <w:szCs w:val="16"/>
      </w:rPr>
      <w:t xml:space="preserve"> </w:t>
    </w:r>
    <w:r w:rsidR="00E13EB2">
      <w:rPr>
        <w:rFonts w:cs="Arial"/>
        <w:noProof/>
        <w:snapToGrid w:val="0"/>
        <w:color w:val="000000"/>
        <w:sz w:val="16"/>
        <w:szCs w:val="16"/>
      </w:rPr>
      <w:t>P2024.docx</w:t>
    </w:r>
    <w:r w:rsidRPr="00EC47B6">
      <w:rPr>
        <w:rFonts w:cs="Arial"/>
        <w:noProof/>
        <w:sz w:val="16"/>
        <w:szCs w:val="16"/>
      </w:rPr>
      <w:fldChar w:fldCharType="end"/>
    </w:r>
    <w:r w:rsidRPr="00F25E42">
      <w:rPr>
        <w:rFonts w:cs="Arial"/>
        <w:snapToGrid w:val="0"/>
        <w:color w:val="000000"/>
        <w:sz w:val="16"/>
      </w:rPr>
      <w:tab/>
      <w:t>© 202</w:t>
    </w:r>
    <w:r w:rsidR="00461455">
      <w:rPr>
        <w:rFonts w:cs="Arial"/>
        <w:snapToGrid w:val="0"/>
        <w:color w:val="000000"/>
        <w:sz w:val="16"/>
      </w:rPr>
      <w:t>4</w:t>
    </w:r>
    <w:r w:rsidRPr="00F25E42">
      <w:rPr>
        <w:rFonts w:cs="Arial"/>
        <w:snapToGrid w:val="0"/>
        <w:color w:val="000000"/>
        <w:sz w:val="16"/>
      </w:rPr>
      <w:t xml:space="preserve"> CVS Caremark. </w:t>
    </w:r>
    <w:r w:rsidRPr="00EC47B6">
      <w:rPr>
        <w:rFonts w:cs="Arial"/>
        <w:snapToGrid w:val="0"/>
        <w:color w:val="000000"/>
        <w:sz w:val="16"/>
      </w:rPr>
      <w:t>All rights reserved.</w:t>
    </w:r>
  </w:p>
  <w:p w14:paraId="39BFE579" w14:textId="43D483A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B4A784F" w:rsidR="00ED04EC" w:rsidRPr="00F50D98" w:rsidRDefault="00F50D98" w:rsidP="004A063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1C34D" w14:textId="3C2C97C5" w:rsidR="00D53588" w:rsidRPr="00F50D98" w:rsidRDefault="00D53588"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D7539" w14:textId="77777777" w:rsidR="00902C65" w:rsidRDefault="00902C65">
      <w:r>
        <w:separator/>
      </w:r>
    </w:p>
  </w:footnote>
  <w:footnote w:type="continuationSeparator" w:id="0">
    <w:p w14:paraId="60447F23" w14:textId="77777777" w:rsidR="00902C65" w:rsidRDefault="00902C65">
      <w:r>
        <w:continuationSeparator/>
      </w:r>
    </w:p>
  </w:footnote>
  <w:footnote w:type="continuationNotice" w:id="1">
    <w:p w14:paraId="0D16CDFE" w14:textId="77777777" w:rsidR="00902C65" w:rsidRDefault="00902C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F25E42" w:rsidRDefault="00ED04EC" w:rsidP="00ED04EC">
          <w:pPr>
            <w:pStyle w:val="Header"/>
            <w:rPr>
              <w:rFonts w:cs="Arial"/>
              <w:sz w:val="16"/>
              <w:szCs w:val="16"/>
            </w:rPr>
          </w:pPr>
          <w:r w:rsidRPr="00F25E42">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2337A95" w:rsidR="00ED04EC" w:rsidRPr="00F25E42" w:rsidRDefault="00D53588" w:rsidP="00ED04EC">
          <w:pPr>
            <w:pStyle w:val="Header"/>
            <w:rPr>
              <w:rFonts w:cs="Arial"/>
              <w:sz w:val="16"/>
              <w:szCs w:val="16"/>
            </w:rPr>
          </w:pPr>
          <w:r w:rsidRPr="00F25E42">
            <w:rPr>
              <w:rFonts w:cs="Arial"/>
              <w:sz w:val="16"/>
              <w:szCs w:val="16"/>
            </w:rPr>
            <w:t>2382-A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D53588" w:rsidRPr="00ED04EC" w14:paraId="3E101342" w14:textId="77777777" w:rsidTr="000C0333">
      <w:trPr>
        <w:trHeight w:val="144"/>
        <w:jc w:val="right"/>
      </w:trPr>
      <w:tc>
        <w:tcPr>
          <w:tcW w:w="1854" w:type="dxa"/>
          <w:hideMark/>
        </w:tcPr>
        <w:p w14:paraId="283616A9" w14:textId="77777777" w:rsidR="00D53588" w:rsidRPr="00F25E42" w:rsidRDefault="00D53588" w:rsidP="00D53588">
          <w:pPr>
            <w:pStyle w:val="Header"/>
            <w:rPr>
              <w:rFonts w:cs="Arial"/>
              <w:sz w:val="16"/>
              <w:szCs w:val="16"/>
            </w:rPr>
          </w:pPr>
          <w:r w:rsidRPr="00F25E42">
            <w:rPr>
              <w:rFonts w:cs="Arial"/>
              <w:sz w:val="16"/>
              <w:szCs w:val="16"/>
            </w:rPr>
            <w:t>Reference number(s)</w:t>
          </w:r>
        </w:p>
      </w:tc>
    </w:tr>
    <w:tr w:rsidR="00D53588" w:rsidRPr="00ED04EC" w14:paraId="16316DF9" w14:textId="77777777" w:rsidTr="000C0333">
      <w:trPr>
        <w:trHeight w:val="378"/>
        <w:jc w:val="right"/>
      </w:trPr>
      <w:tc>
        <w:tcPr>
          <w:tcW w:w="1854" w:type="dxa"/>
          <w:hideMark/>
        </w:tcPr>
        <w:p w14:paraId="09BF97DB" w14:textId="77777777" w:rsidR="00D53588" w:rsidRPr="00F25E42" w:rsidRDefault="00D53588" w:rsidP="00D53588">
          <w:pPr>
            <w:pStyle w:val="Header"/>
            <w:rPr>
              <w:rFonts w:cs="Arial"/>
              <w:sz w:val="16"/>
              <w:szCs w:val="16"/>
            </w:rPr>
          </w:pPr>
          <w:r w:rsidRPr="00F25E42">
            <w:rPr>
              <w:rFonts w:cs="Arial"/>
              <w:sz w:val="16"/>
              <w:szCs w:val="16"/>
            </w:rPr>
            <w:t>2382-A</w:t>
          </w:r>
        </w:p>
      </w:tc>
    </w:tr>
  </w:tbl>
  <w:p w14:paraId="0154B2E4" w14:textId="77777777" w:rsidR="00D53588" w:rsidRPr="00AA1E6A" w:rsidRDefault="00D53588" w:rsidP="00D53588">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5F8E"/>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B2A"/>
    <w:rsid w:val="000B5E31"/>
    <w:rsid w:val="000B6086"/>
    <w:rsid w:val="000B61D7"/>
    <w:rsid w:val="000B6FEA"/>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640F"/>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4D7C"/>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179"/>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44F"/>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57C"/>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0C1"/>
    <w:rsid w:val="002C7217"/>
    <w:rsid w:val="002D08E3"/>
    <w:rsid w:val="002D0E27"/>
    <w:rsid w:val="002D115E"/>
    <w:rsid w:val="002D14E1"/>
    <w:rsid w:val="002D1E70"/>
    <w:rsid w:val="002D27EE"/>
    <w:rsid w:val="002D2C61"/>
    <w:rsid w:val="002D35B0"/>
    <w:rsid w:val="002D49E5"/>
    <w:rsid w:val="002D5B50"/>
    <w:rsid w:val="002D6257"/>
    <w:rsid w:val="002D6987"/>
    <w:rsid w:val="002E030E"/>
    <w:rsid w:val="002E06B0"/>
    <w:rsid w:val="002E0AE3"/>
    <w:rsid w:val="002E15A0"/>
    <w:rsid w:val="002E1D9A"/>
    <w:rsid w:val="002E254D"/>
    <w:rsid w:val="002E25CE"/>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0033"/>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5D72"/>
    <w:rsid w:val="003D6970"/>
    <w:rsid w:val="003D6BFA"/>
    <w:rsid w:val="003D6C2D"/>
    <w:rsid w:val="003E1C0F"/>
    <w:rsid w:val="003E260D"/>
    <w:rsid w:val="003E28D8"/>
    <w:rsid w:val="003E3201"/>
    <w:rsid w:val="003E3F3B"/>
    <w:rsid w:val="003E4224"/>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371F"/>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7D2"/>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455"/>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857"/>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635"/>
    <w:rsid w:val="004A0803"/>
    <w:rsid w:val="004A0F44"/>
    <w:rsid w:val="004A23E2"/>
    <w:rsid w:val="004A2403"/>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45B"/>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09AF"/>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0AB"/>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675"/>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5A66"/>
    <w:rsid w:val="008571AA"/>
    <w:rsid w:val="00860962"/>
    <w:rsid w:val="00860CBD"/>
    <w:rsid w:val="00860E69"/>
    <w:rsid w:val="00861CA3"/>
    <w:rsid w:val="00861DD6"/>
    <w:rsid w:val="00861F40"/>
    <w:rsid w:val="00863211"/>
    <w:rsid w:val="00863541"/>
    <w:rsid w:val="008646F4"/>
    <w:rsid w:val="00864778"/>
    <w:rsid w:val="00865A3A"/>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164"/>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1D94"/>
    <w:rsid w:val="008C30A0"/>
    <w:rsid w:val="008C3173"/>
    <w:rsid w:val="008C3DF1"/>
    <w:rsid w:val="008C42FB"/>
    <w:rsid w:val="008C45B6"/>
    <w:rsid w:val="008C54D9"/>
    <w:rsid w:val="008C5E4C"/>
    <w:rsid w:val="008C7320"/>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2C65"/>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9DD"/>
    <w:rsid w:val="00995A6D"/>
    <w:rsid w:val="00995DAD"/>
    <w:rsid w:val="00995F4D"/>
    <w:rsid w:val="00995FF5"/>
    <w:rsid w:val="00996726"/>
    <w:rsid w:val="00996EF4"/>
    <w:rsid w:val="009973BE"/>
    <w:rsid w:val="00997511"/>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900"/>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679"/>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87D13"/>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6D8"/>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18C"/>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ADD"/>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534B"/>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06C7"/>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19B"/>
    <w:rsid w:val="00CA628A"/>
    <w:rsid w:val="00CA6E68"/>
    <w:rsid w:val="00CA7208"/>
    <w:rsid w:val="00CB1279"/>
    <w:rsid w:val="00CB13DF"/>
    <w:rsid w:val="00CB206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AB2"/>
    <w:rsid w:val="00D06BF8"/>
    <w:rsid w:val="00D07FF9"/>
    <w:rsid w:val="00D10EEE"/>
    <w:rsid w:val="00D11F16"/>
    <w:rsid w:val="00D123F7"/>
    <w:rsid w:val="00D1409F"/>
    <w:rsid w:val="00D14281"/>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27BAA"/>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8BD"/>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3588"/>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CA5"/>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6AA2"/>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63C"/>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EB2"/>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EC3"/>
    <w:rsid w:val="00E36FE9"/>
    <w:rsid w:val="00E37AC2"/>
    <w:rsid w:val="00E37D6E"/>
    <w:rsid w:val="00E37E5D"/>
    <w:rsid w:val="00E37EBA"/>
    <w:rsid w:val="00E40054"/>
    <w:rsid w:val="00E4269F"/>
    <w:rsid w:val="00E43125"/>
    <w:rsid w:val="00E434A7"/>
    <w:rsid w:val="00E43709"/>
    <w:rsid w:val="00E43E02"/>
    <w:rsid w:val="00E4431D"/>
    <w:rsid w:val="00E446A5"/>
    <w:rsid w:val="00E449A7"/>
    <w:rsid w:val="00E451EE"/>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267E"/>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48C"/>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188A"/>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5E42"/>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0B9C"/>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386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991637660">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75393623">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40236905">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17883434">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17636455">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62809640">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0853246">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42116706">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35742198">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A7121FE8-78DD-412B-9009-F87A7AF7827D}"/>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663</Words>
  <Characters>3783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zoledronic acid-Zometa SGM 2382-A</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zoledronic acid-Zometa SGM 2382-A</dc:title>
  <dc:subject>zoledronic acid-Zometa SGM 2382-A</dc:subject>
  <dc:creator>CVS Caremark</dc:creator>
  <cp:keywords/>
  <cp:lastModifiedBy>Ortiz, Erica M</cp:lastModifiedBy>
  <cp:revision>6</cp:revision>
  <cp:lastPrinted>2018-01-09T05:01:00Z</cp:lastPrinted>
  <dcterms:created xsi:type="dcterms:W3CDTF">2025-03-07T21:05:00Z</dcterms:created>
  <dcterms:modified xsi:type="dcterms:W3CDTF">2025-03-07T21:09:00Z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ies>
</file>